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3074E74"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4</w:t>
      </w:r>
      <w:r w:rsidRPr="000E495B">
        <w:rPr>
          <w:bCs/>
          <w:color w:val="000000" w:themeColor="text1"/>
          <w:kern w:val="32"/>
          <w:sz w:val="28"/>
          <w:szCs w:val="32"/>
        </w:rPr>
        <w:t xml:space="preserve"> от 2</w:t>
      </w:r>
      <w:r w:rsidR="001A6C0C">
        <w:rPr>
          <w:bCs/>
          <w:color w:val="000000" w:themeColor="text1"/>
          <w:kern w:val="32"/>
          <w:sz w:val="28"/>
          <w:szCs w:val="32"/>
        </w:rPr>
        <w:t>6</w:t>
      </w:r>
      <w:r w:rsidRPr="000E495B">
        <w:rPr>
          <w:bCs/>
          <w:color w:val="000000" w:themeColor="text1"/>
          <w:kern w:val="32"/>
          <w:sz w:val="28"/>
          <w:szCs w:val="32"/>
        </w:rPr>
        <w:t xml:space="preserve"> </w:t>
      </w:r>
      <w:r w:rsidR="001A6C0C">
        <w:rPr>
          <w:bCs/>
          <w:color w:val="000000" w:themeColor="text1"/>
          <w:kern w:val="32"/>
          <w:sz w:val="28"/>
          <w:szCs w:val="32"/>
        </w:rPr>
        <w:t>мая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2FF8B053"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A53207">
        <w:rPr>
          <w:b/>
          <w:color w:val="000000" w:themeColor="text1"/>
          <w:kern w:val="32"/>
          <w:sz w:val="28"/>
          <w:szCs w:val="32"/>
        </w:rPr>
        <w:t>1</w:t>
      </w:r>
      <w:r w:rsidR="00BE1D58">
        <w:rPr>
          <w:b/>
          <w:color w:val="000000" w:themeColor="text1"/>
          <w:kern w:val="32"/>
          <w:sz w:val="28"/>
          <w:szCs w:val="32"/>
        </w:rPr>
        <w:t>2</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3A6A46" w:rsidRDefault="000E495B" w:rsidP="000E495B">
            <w:pPr>
              <w:jc w:val="both"/>
              <w:textAlignment w:val="baseline"/>
              <w:rPr>
                <w:color w:val="000000" w:themeColor="text1"/>
                <w:sz w:val="28"/>
                <w:szCs w:val="28"/>
              </w:rPr>
            </w:pPr>
            <w:r w:rsidRPr="000E495B">
              <w:rPr>
                <w:color w:val="000000" w:themeColor="text1"/>
                <w:sz w:val="28"/>
                <w:szCs w:val="28"/>
              </w:rPr>
              <w:t xml:space="preserve">на </w:t>
            </w:r>
            <w:r w:rsidRPr="003A6A46">
              <w:rPr>
                <w:color w:val="000000" w:themeColor="text1"/>
                <w:sz w:val="28"/>
                <w:szCs w:val="28"/>
              </w:rPr>
              <w:t>разработку конструкторской документации:</w:t>
            </w:r>
          </w:p>
          <w:p w14:paraId="5D5ED970" w14:textId="67167E9D" w:rsidR="000E495B" w:rsidRPr="000E495B" w:rsidRDefault="00B768CF" w:rsidP="003A6A46">
            <w:pPr>
              <w:jc w:val="both"/>
              <w:textAlignment w:val="baseline"/>
              <w:rPr>
                <w:color w:val="000000" w:themeColor="text1"/>
                <w:sz w:val="28"/>
                <w:szCs w:val="28"/>
              </w:rPr>
            </w:pPr>
            <w:r w:rsidRPr="003A6A46">
              <w:rPr>
                <w:color w:val="000000" w:themeColor="text1"/>
                <w:sz w:val="28"/>
                <w:szCs w:val="28"/>
              </w:rPr>
              <w:t>«</w:t>
            </w:r>
            <w:r w:rsidR="00BE1D58" w:rsidRPr="003A6A46">
              <w:rPr>
                <w:color w:val="000000" w:themeColor="text1"/>
                <w:sz w:val="28"/>
                <w:szCs w:val="28"/>
              </w:rPr>
              <w:t xml:space="preserve">Разработка </w:t>
            </w:r>
            <w:r w:rsidR="003A6A46" w:rsidRPr="003A6A46">
              <w:rPr>
                <w:color w:val="000000" w:themeColor="text1"/>
                <w:sz w:val="28"/>
                <w:szCs w:val="28"/>
              </w:rPr>
              <w:t>регулирующего органа типа «клетка» для</w:t>
            </w:r>
            <w:r w:rsidR="003A6A46" w:rsidRPr="003A6A46">
              <w:rPr>
                <w:color w:val="000000" w:themeColor="text1"/>
                <w:sz w:val="28"/>
                <w:szCs w:val="28"/>
              </w:rPr>
              <w:t xml:space="preserve"> </w:t>
            </w:r>
            <w:r w:rsidR="003A6A46" w:rsidRPr="003A6A46">
              <w:rPr>
                <w:color w:val="000000" w:themeColor="text1"/>
                <w:sz w:val="28"/>
                <w:szCs w:val="28"/>
              </w:rPr>
              <w:t>регулирующих клапанов для атомных электростанций</w:t>
            </w:r>
            <w:r w:rsidRPr="003A6A46">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w:t>
            </w:r>
            <w:r w:rsidRPr="000E495B">
              <w:rPr>
                <w:rFonts w:cs="Times New Roman"/>
                <w:b w:val="0"/>
                <w:color w:val="000000" w:themeColor="text1"/>
                <w:sz w:val="28"/>
                <w:szCs w:val="28"/>
                <w:lang w:eastAsia="en-US"/>
              </w:rPr>
              <w:lastRenderedPageBreak/>
              <w:t xml:space="preserve">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7580698A" w:rsidR="00610077" w:rsidRPr="000E495B" w:rsidRDefault="00610077" w:rsidP="00307F32">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EF9EA2" w14:textId="77777777" w:rsidR="00B43392" w:rsidRPr="00B43392" w:rsidRDefault="00B43392" w:rsidP="00B43392">
            <w:pPr>
              <w:pStyle w:val="variable"/>
              <w:jc w:val="both"/>
              <w:rPr>
                <w:rFonts w:cs="Times New Roman"/>
                <w:b w:val="0"/>
                <w:color w:val="000000" w:themeColor="text1"/>
                <w:sz w:val="28"/>
                <w:szCs w:val="28"/>
                <w:lang w:eastAsia="en-US"/>
              </w:rPr>
            </w:pPr>
          </w:p>
          <w:p w14:paraId="5DB711AF" w14:textId="2631F61A" w:rsidR="00610077" w:rsidRPr="00CC6A2F" w:rsidRDefault="00BE1D58" w:rsidP="00B43392">
            <w:pPr>
              <w:pStyle w:val="variable"/>
              <w:jc w:val="both"/>
              <w:rPr>
                <w:rFonts w:cs="Times New Roman"/>
                <w:b w:val="0"/>
                <w:color w:val="000000" w:themeColor="text1"/>
                <w:sz w:val="28"/>
                <w:szCs w:val="28"/>
                <w:lang w:eastAsia="en-US"/>
              </w:rPr>
            </w:pPr>
            <w:r w:rsidRPr="00BE1D58">
              <w:rPr>
                <w:rFonts w:cs="Times New Roman"/>
                <w:b w:val="0"/>
                <w:color w:val="000000" w:themeColor="text1"/>
                <w:sz w:val="28"/>
                <w:szCs w:val="28"/>
                <w:lang w:eastAsia="en-US"/>
              </w:rPr>
              <w:t xml:space="preserve">7 500 000 </w:t>
            </w:r>
            <w:r w:rsidR="00B43392" w:rsidRPr="00B43392">
              <w:rPr>
                <w:rFonts w:cs="Times New Roman"/>
                <w:b w:val="0"/>
                <w:color w:val="000000" w:themeColor="text1"/>
                <w:sz w:val="28"/>
                <w:szCs w:val="28"/>
                <w:lang w:eastAsia="en-US"/>
              </w:rPr>
              <w:t>(</w:t>
            </w:r>
            <w:r>
              <w:rPr>
                <w:rFonts w:cs="Times New Roman"/>
                <w:b w:val="0"/>
                <w:color w:val="000000" w:themeColor="text1"/>
                <w:sz w:val="28"/>
                <w:szCs w:val="28"/>
                <w:lang w:eastAsia="en-US"/>
              </w:rPr>
              <w:t>Семь</w:t>
            </w:r>
            <w:r w:rsidR="00B43392" w:rsidRPr="00B43392">
              <w:rPr>
                <w:rFonts w:cs="Times New Roman"/>
                <w:b w:val="0"/>
                <w:color w:val="000000" w:themeColor="text1"/>
                <w:sz w:val="28"/>
                <w:szCs w:val="28"/>
                <w:lang w:eastAsia="en-US"/>
              </w:rPr>
              <w:t xml:space="preserve"> миллионов </w:t>
            </w:r>
            <w:r>
              <w:rPr>
                <w:rFonts w:cs="Times New Roman"/>
                <w:b w:val="0"/>
                <w:color w:val="000000" w:themeColor="text1"/>
                <w:sz w:val="28"/>
                <w:szCs w:val="28"/>
                <w:lang w:eastAsia="en-US"/>
              </w:rPr>
              <w:t>пятьсот тысяч</w:t>
            </w:r>
            <w:r w:rsidR="00B43392" w:rsidRPr="00B43392">
              <w:rPr>
                <w:rFonts w:cs="Times New Roman"/>
                <w:b w:val="0"/>
                <w:color w:val="000000" w:themeColor="text1"/>
                <w:sz w:val="28"/>
                <w:szCs w:val="28"/>
                <w:lang w:eastAsia="en-US"/>
              </w:rPr>
              <w:t xml:space="preserve">)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F7A2990"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27 </w:t>
            </w:r>
            <w:r w:rsidR="001A6C0C">
              <w:rPr>
                <w:color w:val="000000" w:themeColor="text1"/>
                <w:sz w:val="28"/>
                <w:szCs w:val="28"/>
                <w:bdr w:val="none" w:sz="0" w:space="0" w:color="auto" w:frame="1"/>
              </w:rPr>
              <w:t>мая</w:t>
            </w:r>
            <w:r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E5BA383"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14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6BC18A"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 xml:space="preserve">20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8"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5157" w14:textId="77777777" w:rsidR="008A49F3" w:rsidRDefault="008A49F3" w:rsidP="00E50318">
      <w:r>
        <w:separator/>
      </w:r>
    </w:p>
  </w:endnote>
  <w:endnote w:type="continuationSeparator" w:id="0">
    <w:p w14:paraId="361B97BC" w14:textId="77777777" w:rsidR="008A49F3" w:rsidRDefault="008A49F3"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8FEF" w14:textId="77777777" w:rsidR="008A49F3" w:rsidRDefault="008A49F3" w:rsidP="00E50318">
      <w:r>
        <w:separator/>
      </w:r>
    </w:p>
  </w:footnote>
  <w:footnote w:type="continuationSeparator" w:id="0">
    <w:p w14:paraId="083E7387" w14:textId="77777777" w:rsidR="008A49F3" w:rsidRDefault="008A49F3"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55B49"/>
    <w:rsid w:val="0006265F"/>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6476"/>
    <w:rsid w:val="002044F8"/>
    <w:rsid w:val="00213C73"/>
    <w:rsid w:val="00231272"/>
    <w:rsid w:val="002343FD"/>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D1AD3"/>
    <w:rsid w:val="002D42E7"/>
    <w:rsid w:val="002D6992"/>
    <w:rsid w:val="002F0286"/>
    <w:rsid w:val="00305202"/>
    <w:rsid w:val="00307F32"/>
    <w:rsid w:val="003100C8"/>
    <w:rsid w:val="00310175"/>
    <w:rsid w:val="003279D0"/>
    <w:rsid w:val="00331F15"/>
    <w:rsid w:val="003449E5"/>
    <w:rsid w:val="003534DB"/>
    <w:rsid w:val="00362173"/>
    <w:rsid w:val="003709BC"/>
    <w:rsid w:val="003713BE"/>
    <w:rsid w:val="00372EED"/>
    <w:rsid w:val="003767D8"/>
    <w:rsid w:val="003829B4"/>
    <w:rsid w:val="003900F6"/>
    <w:rsid w:val="003A6A46"/>
    <w:rsid w:val="003A6BD2"/>
    <w:rsid w:val="003B2118"/>
    <w:rsid w:val="003B562A"/>
    <w:rsid w:val="003B6370"/>
    <w:rsid w:val="003B6773"/>
    <w:rsid w:val="003D7C2E"/>
    <w:rsid w:val="0040159B"/>
    <w:rsid w:val="00407270"/>
    <w:rsid w:val="0042021A"/>
    <w:rsid w:val="00421058"/>
    <w:rsid w:val="00425017"/>
    <w:rsid w:val="0043499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1141E"/>
    <w:rsid w:val="00623792"/>
    <w:rsid w:val="006248D4"/>
    <w:rsid w:val="006325B1"/>
    <w:rsid w:val="00636BBA"/>
    <w:rsid w:val="00641923"/>
    <w:rsid w:val="006441DC"/>
    <w:rsid w:val="00654F37"/>
    <w:rsid w:val="0065676A"/>
    <w:rsid w:val="00662ECB"/>
    <w:rsid w:val="006969F9"/>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3EDF"/>
    <w:rsid w:val="007D44EB"/>
    <w:rsid w:val="007D5460"/>
    <w:rsid w:val="007E3121"/>
    <w:rsid w:val="007E47CC"/>
    <w:rsid w:val="00810E0D"/>
    <w:rsid w:val="00812935"/>
    <w:rsid w:val="0081656E"/>
    <w:rsid w:val="00840879"/>
    <w:rsid w:val="00840FC3"/>
    <w:rsid w:val="00844A43"/>
    <w:rsid w:val="00855A7D"/>
    <w:rsid w:val="00857991"/>
    <w:rsid w:val="00872B85"/>
    <w:rsid w:val="00894D16"/>
    <w:rsid w:val="008A26B8"/>
    <w:rsid w:val="008A49F3"/>
    <w:rsid w:val="008B4A92"/>
    <w:rsid w:val="008C7728"/>
    <w:rsid w:val="008D771E"/>
    <w:rsid w:val="008E0159"/>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53207"/>
    <w:rsid w:val="00A603F1"/>
    <w:rsid w:val="00A62CA5"/>
    <w:rsid w:val="00A63054"/>
    <w:rsid w:val="00A6377B"/>
    <w:rsid w:val="00A66182"/>
    <w:rsid w:val="00A77433"/>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3392"/>
    <w:rsid w:val="00B46085"/>
    <w:rsid w:val="00B57286"/>
    <w:rsid w:val="00B600CE"/>
    <w:rsid w:val="00B61559"/>
    <w:rsid w:val="00B6317A"/>
    <w:rsid w:val="00B64282"/>
    <w:rsid w:val="00B7163C"/>
    <w:rsid w:val="00B768CF"/>
    <w:rsid w:val="00B837A0"/>
    <w:rsid w:val="00BA58D9"/>
    <w:rsid w:val="00BA64E4"/>
    <w:rsid w:val="00BB1657"/>
    <w:rsid w:val="00BE13C6"/>
    <w:rsid w:val="00BE1D58"/>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123B"/>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736D5"/>
    <w:rsid w:val="00E74E1D"/>
    <w:rsid w:val="00E8057A"/>
    <w:rsid w:val="00E85725"/>
    <w:rsid w:val="00E94117"/>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2022-05-27T12:27:00Z</dcterms:created>
  <dcterms:modified xsi:type="dcterms:W3CDTF">2022-05-27T13:00:00Z</dcterms:modified>
</cp:coreProperties>
</file>